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4C9" w:rsidRPr="00B454C9"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по состоянию на 01.10.2021</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776"/>
        <w:gridCol w:w="963"/>
        <w:gridCol w:w="29"/>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r w:rsidR="00960FEC">
              <w:rPr>
                <w:lang w:val="en-US"/>
              </w:rPr>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Государственный регистрационный номер: 1077760969879</w:t>
            </w:r>
          </w:p>
          <w:p w:rsidR="006D6179" w:rsidRDefault="006D6179" w:rsidP="006D6179">
            <w:pPr>
              <w:pStyle w:val="ConsPlusNormal"/>
              <w:jc w:val="both"/>
            </w:pPr>
            <w:r>
              <w:t>Адрес (место положения): Российская Федерация, 123060, Россия, г. Москва, ул. Маршала Рыбалко, д. 2, корп. 6.</w:t>
            </w:r>
          </w:p>
          <w:p w:rsidR="006D6179" w:rsidRDefault="006D6179" w:rsidP="006D6179">
            <w:pPr>
              <w:pStyle w:val="ConsPlusNormal"/>
              <w:jc w:val="both"/>
            </w:pPr>
            <w:r>
              <w:t>Идентификационный номер налогоплательщика (ИНН): 7706671050</w:t>
            </w:r>
          </w:p>
          <w:p w:rsidR="006D6179" w:rsidRDefault="006D6179" w:rsidP="006D6179">
            <w:pPr>
              <w:pStyle w:val="ConsPlusNormal"/>
              <w:jc w:val="both"/>
            </w:pPr>
            <w:r>
              <w:t>Дата и номер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w:t>
            </w:r>
          </w:p>
          <w:p w:rsidR="006D6179" w:rsidRDefault="006D6179" w:rsidP="006D6179">
            <w:pPr>
              <w:pStyle w:val="ConsPlusNormal"/>
              <w:jc w:val="both"/>
            </w:pPr>
            <w:r>
              <w:t>Продолжительность деятельности (лет): 13</w:t>
            </w:r>
          </w:p>
          <w:p w:rsidR="006D6179" w:rsidRDefault="006D6179" w:rsidP="006D6179">
            <w:pPr>
              <w:pStyle w:val="ConsPlusNormal"/>
              <w:jc w:val="both"/>
            </w:pPr>
            <w:r>
              <w:t xml:space="preserve">Номера телефонов, факса: (495) 210-17-89 </w:t>
            </w:r>
          </w:p>
          <w:p w:rsidR="006D6179" w:rsidRPr="006D6179" w:rsidRDefault="006D6179" w:rsidP="006D6179">
            <w:pPr>
              <w:pStyle w:val="ConsPlusNormal"/>
              <w:jc w:val="both"/>
            </w:pPr>
            <w:r>
              <w:t xml:space="preserve">Адрес электронной почты: </w:t>
            </w:r>
            <w:r>
              <w:rPr>
                <w:lang w:val="en-US"/>
              </w:rPr>
              <w:t>info</w:t>
            </w:r>
            <w:r w:rsidRPr="006D6179">
              <w:t>@</w:t>
            </w:r>
            <w:r>
              <w:rPr>
                <w:lang w:val="en-US"/>
              </w:rPr>
              <w:t>fitam</w:t>
            </w:r>
            <w:r w:rsidRPr="006D6179">
              <w:t>.</w:t>
            </w:r>
            <w:r>
              <w:rPr>
                <w:lang w:val="en-US"/>
              </w:rPr>
              <w:t>ru</w:t>
            </w:r>
          </w:p>
          <w:p w:rsidR="006D6179" w:rsidRDefault="006D6179" w:rsidP="006D6179">
            <w:pPr>
              <w:pStyle w:val="ConsPlusNormal"/>
              <w:jc w:val="both"/>
            </w:pPr>
            <w:r>
              <w:t>Адрес сайта в сети "Интернет": fitam.ru</w:t>
            </w:r>
          </w:p>
          <w:p w:rsidR="006D6179" w:rsidRDefault="006D6179" w:rsidP="00D23676">
            <w:pPr>
              <w:pStyle w:val="ConsPlusNormal"/>
              <w:jc w:val="both"/>
            </w:pPr>
            <w:r>
              <w:t>Наличие филиалов с указанием их фактических адресов, телефонов: нет</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w:t>
            </w:r>
            <w:r w:rsidR="00514C6A" w:rsidRPr="00514C6A">
              <w:lastRenderedPageBreak/>
              <w:t>имущества с целью их последующей продажи и (или) с целью сдачи их в аренду</w:t>
            </w:r>
            <w: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 xml:space="preserve">Наименование объекта </w:t>
            </w:r>
            <w:r>
              <w:lastRenderedPageBreak/>
              <w:t>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lastRenderedPageBreak/>
              <w:t xml:space="preserve">Доля от </w:t>
            </w:r>
            <w:r>
              <w:lastRenderedPageBreak/>
              <w:t>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F169D1" w:rsidRDefault="009E59D2" w:rsidP="005F0815">
            <w:pPr>
              <w:pStyle w:val="ConsPlusNormal"/>
              <w:jc w:val="center"/>
              <w:rPr>
                <w:lang w:val="en-US"/>
              </w:rPr>
            </w:pPr>
            <w:r>
              <w:t>2</w:t>
            </w:r>
            <w:r w:rsidR="005F0815">
              <w:t>7</w:t>
            </w:r>
            <w:r w:rsidR="00B454C9">
              <w:t>,</w:t>
            </w:r>
            <w:r w:rsidR="00F169D1">
              <w:rPr>
                <w:lang w:val="en-US"/>
              </w:rPr>
              <w:t>82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Default="009E59D2" w:rsidP="001F452E">
            <w:pPr>
              <w:pStyle w:val="ConsPlusNormal"/>
              <w:jc w:val="center"/>
            </w:pPr>
            <w:r>
              <w:t>11</w:t>
            </w:r>
            <w:r w:rsidR="00B454C9">
              <w:t>,</w:t>
            </w:r>
            <w:r w:rsidR="00F169D1">
              <w:t>61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Default="00801E12" w:rsidP="00801E12">
            <w:pPr>
              <w:pStyle w:val="ConsPlusNormal"/>
              <w:jc w:val="center"/>
            </w:pPr>
            <w:r>
              <w:t>6</w:t>
            </w:r>
            <w:r w:rsidR="00B454C9">
              <w:t>,</w:t>
            </w:r>
            <w:r w:rsidR="00F169D1">
              <w:t>46</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Default="00801E12" w:rsidP="00801E12">
            <w:pPr>
              <w:pStyle w:val="ConsPlusNormal"/>
              <w:jc w:val="center"/>
            </w:pPr>
            <w:r>
              <w:t>5</w:t>
            </w:r>
            <w:r w:rsidR="00B454C9">
              <w:t>,</w:t>
            </w:r>
            <w:r w:rsidR="00F169D1">
              <w:t>62</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Default="00801E12" w:rsidP="00801E12">
            <w:pPr>
              <w:pStyle w:val="ConsPlusNormal"/>
            </w:pPr>
            <w:r>
              <w:t xml:space="preserve">Квартира, </w:t>
            </w:r>
            <w:r w:rsidRPr="00801E12">
              <w:t>г. Улан-Удэ, ул. Клубный жилой комплекс «Европа», дом № 10 кв</w:t>
            </w:r>
            <w:r>
              <w:t xml:space="preserve">. 4. Кадастровый номер: </w:t>
            </w:r>
            <w:r w:rsidRPr="00801E12">
              <w:t>03:24:022503:28</w:t>
            </w:r>
            <w:r>
              <w:t>3</w:t>
            </w:r>
          </w:p>
        </w:tc>
        <w:tc>
          <w:tcPr>
            <w:tcW w:w="992" w:type="dxa"/>
            <w:tcBorders>
              <w:left w:val="single" w:sz="4" w:space="0" w:color="auto"/>
              <w:right w:val="single" w:sz="4" w:space="0" w:color="auto"/>
            </w:tcBorders>
          </w:tcPr>
          <w:p w:rsidR="00801E12" w:rsidRDefault="00F169D1" w:rsidP="00801E12">
            <w:pPr>
              <w:pStyle w:val="ConsPlusNormal"/>
              <w:jc w:val="center"/>
            </w:pPr>
            <w:r>
              <w:t>5,32</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4"/>
          </w:tcPr>
          <w:p w:rsidR="00B454C9" w:rsidRDefault="00B454C9" w:rsidP="00922582">
            <w:pPr>
              <w:pStyle w:val="ConsPlusNormal"/>
              <w:jc w:val="center"/>
            </w:pPr>
            <w:r>
              <w:t>Вероятность реализации риска</w:t>
            </w:r>
          </w:p>
        </w:tc>
        <w:tc>
          <w:tcPr>
            <w:tcW w:w="2760" w:type="dxa"/>
            <w:gridSpan w:val="4"/>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4"/>
          </w:tcPr>
          <w:p w:rsidR="00B454C9" w:rsidRDefault="00B454C9" w:rsidP="00922582">
            <w:pPr>
              <w:pStyle w:val="ConsPlusNormal"/>
              <w:jc w:val="center"/>
            </w:pPr>
            <w:r>
              <w:t>средняя</w:t>
            </w:r>
          </w:p>
        </w:tc>
        <w:tc>
          <w:tcPr>
            <w:tcW w:w="2760" w:type="dxa"/>
            <w:gridSpan w:val="4"/>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4"/>
          </w:tcPr>
          <w:p w:rsidR="00414ABC" w:rsidRDefault="00B63FA9" w:rsidP="00414ABC">
            <w:pPr>
              <w:pStyle w:val="ConsPlusNormal"/>
              <w:jc w:val="center"/>
            </w:pPr>
            <w:r>
              <w:t>средняя</w:t>
            </w:r>
          </w:p>
        </w:tc>
        <w:tc>
          <w:tcPr>
            <w:tcW w:w="2760" w:type="dxa"/>
            <w:gridSpan w:val="4"/>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922582">
            <w:pPr>
              <w:pStyle w:val="ConsPlusNormal"/>
              <w:jc w:val="both"/>
              <w:outlineLvl w:val="1"/>
            </w:pPr>
            <w:r>
              <w:t>Дата, по состоянию на которую определяются результаты инвестирования: 30.09.2021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5F0815" w:rsidP="00922582">
            <w:pPr>
              <w:pStyle w:val="ConsPlusNormal"/>
              <w:jc w:val="center"/>
            </w:pPr>
            <w:r>
              <w:rPr>
                <w:noProof/>
              </w:rPr>
              <w:drawing>
                <wp:inline distT="0" distB="0" distL="0" distR="0" wp14:anchorId="59F3D858">
                  <wp:extent cx="2273853"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7949" cy="1717588"/>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2"/>
            <w:tcBorders>
              <w:bottom w:val="single" w:sz="4" w:space="0" w:color="auto"/>
            </w:tcBorders>
          </w:tcPr>
          <w:p w:rsidR="00966032" w:rsidRDefault="00966032" w:rsidP="00922582">
            <w:pPr>
              <w:pStyle w:val="ConsPlusNormal"/>
              <w:jc w:val="center"/>
            </w:pPr>
            <w:r>
              <w:t>Доходность инвестиций</w:t>
            </w:r>
          </w:p>
        </w:tc>
        <w:tc>
          <w:tcPr>
            <w:tcW w:w="992" w:type="dxa"/>
            <w:gridSpan w:val="2"/>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w:t>
            </w:r>
            <w:r>
              <w:lastRenderedPageBreak/>
              <w:t>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2"/>
          </w:tcPr>
          <w:p w:rsidR="00966032" w:rsidRPr="00D66B42" w:rsidRDefault="00966032" w:rsidP="00D66B42">
            <w:pPr>
              <w:pStyle w:val="ConsPlusNormal"/>
              <w:jc w:val="center"/>
            </w:pPr>
            <w:r>
              <w:rPr>
                <w:lang w:val="en-US"/>
              </w:rPr>
              <w:t>0,1</w:t>
            </w:r>
            <w:r w:rsidR="00D66B42">
              <w:t>6</w:t>
            </w:r>
          </w:p>
        </w:tc>
        <w:tc>
          <w:tcPr>
            <w:tcW w:w="992" w:type="dxa"/>
            <w:gridSpan w:val="2"/>
          </w:tcPr>
          <w:p w:rsidR="00966032" w:rsidRPr="00D66B42" w:rsidRDefault="00966032" w:rsidP="00D66B42">
            <w:pPr>
              <w:pStyle w:val="ConsPlusNormal"/>
              <w:jc w:val="center"/>
            </w:pPr>
            <w:r>
              <w:t>0,</w:t>
            </w:r>
            <w:r>
              <w:rPr>
                <w:lang w:val="en-US"/>
              </w:rPr>
              <w:t>0</w:t>
            </w:r>
            <w:r w:rsidR="00D66B42">
              <w:t>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2"/>
          </w:tcPr>
          <w:p w:rsidR="00966032" w:rsidRDefault="00966032" w:rsidP="00D66B42">
            <w:pPr>
              <w:pStyle w:val="ConsPlusNormal"/>
              <w:jc w:val="center"/>
            </w:pPr>
            <w:r>
              <w:t>-0,</w:t>
            </w:r>
            <w:r w:rsidR="00D66B42">
              <w:t>6</w:t>
            </w:r>
            <w:r>
              <w:t>2</w:t>
            </w:r>
          </w:p>
        </w:tc>
        <w:tc>
          <w:tcPr>
            <w:tcW w:w="992" w:type="dxa"/>
            <w:gridSpan w:val="2"/>
          </w:tcPr>
          <w:p w:rsidR="00966032" w:rsidRDefault="00D66B42" w:rsidP="00D66B42">
            <w:pPr>
              <w:pStyle w:val="ConsPlusNormal"/>
              <w:jc w:val="center"/>
            </w:pPr>
            <w:r>
              <w:t>-1</w:t>
            </w:r>
            <w:r w:rsidR="00966032">
              <w:t>,</w:t>
            </w:r>
            <w:r>
              <w:t>43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2"/>
          </w:tcPr>
          <w:p w:rsidR="00966032" w:rsidRPr="00101956" w:rsidRDefault="00D66B42" w:rsidP="00D66B42">
            <w:pPr>
              <w:pStyle w:val="ConsPlusNormal"/>
              <w:jc w:val="center"/>
              <w:rPr>
                <w:lang w:val="en-US"/>
              </w:rPr>
            </w:pPr>
            <w:r>
              <w:t>-2</w:t>
            </w:r>
            <w:r w:rsidR="00966032">
              <w:t>,</w:t>
            </w:r>
            <w:r>
              <w:t>47</w:t>
            </w:r>
          </w:p>
        </w:tc>
        <w:tc>
          <w:tcPr>
            <w:tcW w:w="992" w:type="dxa"/>
            <w:gridSpan w:val="2"/>
          </w:tcPr>
          <w:p w:rsidR="00966032" w:rsidRPr="00966032" w:rsidRDefault="00966032" w:rsidP="00D66B42">
            <w:pPr>
              <w:pStyle w:val="ConsPlusNormal"/>
              <w:jc w:val="center"/>
              <w:rPr>
                <w:lang w:val="en-US"/>
              </w:rPr>
            </w:pPr>
            <w:r>
              <w:t>-</w:t>
            </w:r>
            <w:r w:rsidR="00D66B42">
              <w:t>5</w:t>
            </w:r>
            <w:r>
              <w:t>,</w:t>
            </w:r>
            <w:r w:rsidR="00D66B42">
              <w:t>33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2"/>
          </w:tcPr>
          <w:p w:rsidR="00966032" w:rsidRPr="00101956" w:rsidRDefault="00966032" w:rsidP="00D66B42">
            <w:pPr>
              <w:pStyle w:val="ConsPlusNormal"/>
              <w:jc w:val="center"/>
              <w:rPr>
                <w:lang w:val="en-US"/>
              </w:rPr>
            </w:pPr>
            <w:r>
              <w:rPr>
                <w:lang w:val="en-US"/>
              </w:rPr>
              <w:t>-</w:t>
            </w:r>
            <w:r w:rsidR="00D66B42">
              <w:t>4</w:t>
            </w:r>
            <w:r>
              <w:t>,</w:t>
            </w:r>
            <w:r w:rsidR="00D66B42">
              <w:t>49</w:t>
            </w:r>
          </w:p>
        </w:tc>
        <w:tc>
          <w:tcPr>
            <w:tcW w:w="992" w:type="dxa"/>
            <w:gridSpan w:val="2"/>
          </w:tcPr>
          <w:p w:rsidR="00966032" w:rsidRPr="00966032" w:rsidRDefault="00966032" w:rsidP="00D66B42">
            <w:pPr>
              <w:pStyle w:val="ConsPlusNormal"/>
              <w:jc w:val="center"/>
              <w:rPr>
                <w:lang w:val="en-US"/>
              </w:rPr>
            </w:pPr>
            <w:r>
              <w:t>-</w:t>
            </w:r>
            <w:r w:rsidR="00D66B42">
              <w:t>10</w:t>
            </w:r>
            <w:r>
              <w:t>,</w:t>
            </w:r>
            <w:r w:rsidR="00D66B42">
              <w:t>50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2"/>
          </w:tcPr>
          <w:p w:rsidR="00966032" w:rsidRPr="00101956" w:rsidRDefault="00966032" w:rsidP="00D66B42">
            <w:pPr>
              <w:pStyle w:val="ConsPlusNormal"/>
              <w:jc w:val="center"/>
              <w:rPr>
                <w:lang w:val="en-US"/>
              </w:rPr>
            </w:pPr>
            <w:r>
              <w:rPr>
                <w:lang w:val="en-US"/>
              </w:rPr>
              <w:t>-</w:t>
            </w:r>
            <w:r w:rsidR="00D66B42">
              <w:t>20</w:t>
            </w:r>
            <w:r>
              <w:t>,</w:t>
            </w:r>
            <w:r w:rsidR="00D66B42">
              <w:t>13</w:t>
            </w:r>
          </w:p>
        </w:tc>
        <w:tc>
          <w:tcPr>
            <w:tcW w:w="992" w:type="dxa"/>
            <w:gridSpan w:val="2"/>
          </w:tcPr>
          <w:p w:rsidR="00966032" w:rsidRPr="00D66B42" w:rsidRDefault="00966032" w:rsidP="00D66B42">
            <w:pPr>
              <w:pStyle w:val="ConsPlusNormal"/>
              <w:jc w:val="center"/>
            </w:pPr>
            <w:r>
              <w:rPr>
                <w:lang w:val="en-US"/>
              </w:rPr>
              <w:t>-</w:t>
            </w:r>
            <w:r w:rsidR="00D66B42">
              <w:t>34</w:t>
            </w:r>
            <w:r>
              <w:t>,</w:t>
            </w:r>
            <w:r>
              <w:rPr>
                <w:lang w:val="en-US"/>
              </w:rPr>
              <w:t>2</w:t>
            </w:r>
            <w:r w:rsidR="00D66B42">
              <w:t>0</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2"/>
          </w:tcPr>
          <w:p w:rsidR="00966032" w:rsidRPr="00101956" w:rsidRDefault="00966032" w:rsidP="00D66B42">
            <w:pPr>
              <w:pStyle w:val="ConsPlusNormal"/>
              <w:jc w:val="center"/>
              <w:rPr>
                <w:lang w:val="en-US"/>
              </w:rPr>
            </w:pPr>
            <w:r>
              <w:rPr>
                <w:lang w:val="en-US"/>
              </w:rPr>
              <w:t>-</w:t>
            </w:r>
            <w:r w:rsidR="00D66B42">
              <w:t>35</w:t>
            </w:r>
            <w:r>
              <w:t>,</w:t>
            </w:r>
            <w:r w:rsidR="00D66B42">
              <w:t>71</w:t>
            </w:r>
          </w:p>
        </w:tc>
        <w:tc>
          <w:tcPr>
            <w:tcW w:w="992" w:type="dxa"/>
            <w:gridSpan w:val="2"/>
          </w:tcPr>
          <w:p w:rsidR="00966032" w:rsidRPr="00966032" w:rsidRDefault="00966032" w:rsidP="00D66B42">
            <w:pPr>
              <w:pStyle w:val="ConsPlusNormal"/>
              <w:jc w:val="center"/>
              <w:rPr>
                <w:lang w:val="en-US"/>
              </w:rPr>
            </w:pPr>
            <w:r>
              <w:t>-</w:t>
            </w:r>
            <w:r w:rsidR="00D66B42">
              <w:t>59</w:t>
            </w:r>
            <w:r>
              <w:t>,</w:t>
            </w:r>
            <w:r w:rsidR="00D66B42">
              <w:t>16</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2257B">
            <w:pPr>
              <w:pStyle w:val="ConsPlusNormal"/>
            </w:pPr>
            <w:r>
              <w:t xml:space="preserve">1. Расчетная стоимость инвестиционного пая </w:t>
            </w:r>
            <w:r w:rsidR="00E2257B">
              <w:t>638</w:t>
            </w:r>
            <w:r>
              <w:t>,</w:t>
            </w:r>
            <w:r w:rsidR="00E2257B">
              <w:t>47</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2257B">
            <w:pPr>
              <w:pStyle w:val="ConsPlusNormal"/>
            </w:pPr>
            <w:r>
              <w:t xml:space="preserve">2. Стоимость чистых активов паевого инвестиционного фонда </w:t>
            </w:r>
            <w:r w:rsidR="00E2257B">
              <w:t>181</w:t>
            </w:r>
            <w:r w:rsidRPr="00E42AB4">
              <w:t xml:space="preserve"> </w:t>
            </w:r>
            <w:r w:rsidR="00E2257B">
              <w:t>589</w:t>
            </w:r>
            <w:r w:rsidRPr="00E42AB4">
              <w:t xml:space="preserve"> </w:t>
            </w:r>
            <w:r w:rsidR="00E2257B">
              <w:t>950</w:t>
            </w:r>
            <w:r w:rsidRPr="00E42AB4">
              <w:t>,</w:t>
            </w:r>
            <w:r w:rsidR="00E2257B">
              <w:t>59</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B454C9" w:rsidTr="00966032">
        <w:tblPrEx>
          <w:tblBorders>
            <w:left w:val="single" w:sz="4" w:space="0" w:color="auto"/>
            <w:right w:val="single" w:sz="4" w:space="0" w:color="auto"/>
            <w:insideH w:val="single" w:sz="4" w:space="0" w:color="auto"/>
          </w:tblBorders>
        </w:tblPrEx>
        <w:tc>
          <w:tcPr>
            <w:tcW w:w="2438" w:type="dxa"/>
          </w:tcPr>
          <w:p w:rsidR="00B454C9" w:rsidRDefault="00B454C9" w:rsidP="00922582">
            <w:pPr>
              <w:pStyle w:val="ConsPlusNormal"/>
            </w:pPr>
            <w:r>
              <w:t>при приобретении инвестиционного пая (надбавка)</w:t>
            </w:r>
          </w:p>
        </w:tc>
        <w:tc>
          <w:tcPr>
            <w:tcW w:w="1833" w:type="dxa"/>
            <w:gridSpan w:val="2"/>
            <w:tcBorders>
              <w:right w:val="nil"/>
            </w:tcBorders>
            <w:vAlign w:val="center"/>
          </w:tcPr>
          <w:p w:rsidR="00B454C9" w:rsidRPr="000F6CF6" w:rsidRDefault="000F6CF6" w:rsidP="00922582">
            <w:pPr>
              <w:pStyle w:val="ConsPlusNormal"/>
              <w:jc w:val="center"/>
            </w:pPr>
            <w:r>
              <w:t>Отсутствуют</w:t>
            </w:r>
          </w:p>
        </w:tc>
        <w:tc>
          <w:tcPr>
            <w:tcW w:w="340" w:type="dxa"/>
            <w:vMerge/>
            <w:tcBorders>
              <w:top w:val="nil"/>
              <w:left w:val="nil"/>
              <w:bottom w:val="nil"/>
              <w:right w:val="nil"/>
            </w:tcBorders>
          </w:tcPr>
          <w:p w:rsidR="00B454C9" w:rsidRDefault="00B454C9" w:rsidP="00922582"/>
        </w:tc>
        <w:tc>
          <w:tcPr>
            <w:tcW w:w="3440" w:type="dxa"/>
            <w:gridSpan w:val="4"/>
            <w:vMerge w:val="restart"/>
          </w:tcPr>
          <w:p w:rsidR="00B454C9" w:rsidRDefault="00B454C9" w:rsidP="00922582">
            <w:pPr>
              <w:pStyle w:val="ConsPlusNormal"/>
            </w:pPr>
            <w:r>
              <w:t>вознаграждения и расходы, подлежащие оплате за счет активов паевого инвестиционного фонда</w:t>
            </w:r>
          </w:p>
        </w:tc>
        <w:tc>
          <w:tcPr>
            <w:tcW w:w="1021" w:type="dxa"/>
            <w:gridSpan w:val="2"/>
            <w:vMerge w:val="restart"/>
            <w:vAlign w:val="center"/>
          </w:tcPr>
          <w:p w:rsidR="00B454C9" w:rsidRDefault="00B454C9" w:rsidP="000F6CF6">
            <w:pPr>
              <w:pStyle w:val="ConsPlusNormal"/>
              <w:jc w:val="center"/>
            </w:pPr>
            <w:r>
              <w:t>до 2%</w:t>
            </w:r>
          </w:p>
        </w:tc>
      </w:tr>
      <w:tr w:rsidR="00B454C9" w:rsidTr="00966032">
        <w:tblPrEx>
          <w:tblBorders>
            <w:left w:val="single" w:sz="4" w:space="0" w:color="auto"/>
            <w:right w:val="single" w:sz="4" w:space="0" w:color="auto"/>
            <w:insideH w:val="single" w:sz="4" w:space="0" w:color="auto"/>
          </w:tblBorders>
        </w:tblPrEx>
        <w:trPr>
          <w:trHeight w:val="269"/>
        </w:trPr>
        <w:tc>
          <w:tcPr>
            <w:tcW w:w="2438" w:type="dxa"/>
            <w:vMerge w:val="restart"/>
          </w:tcPr>
          <w:p w:rsidR="00B454C9" w:rsidRDefault="00B454C9"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B454C9" w:rsidRDefault="000F6CF6" w:rsidP="000F6CF6">
            <w:pPr>
              <w:pStyle w:val="ConsPlusNormal"/>
              <w:jc w:val="center"/>
            </w:pPr>
            <w:r>
              <w:t>Отсутствуют</w:t>
            </w:r>
          </w:p>
        </w:tc>
        <w:tc>
          <w:tcPr>
            <w:tcW w:w="340" w:type="dxa"/>
            <w:vMerge/>
            <w:tcBorders>
              <w:top w:val="nil"/>
              <w:left w:val="nil"/>
              <w:bottom w:val="nil"/>
              <w:right w:val="nil"/>
            </w:tcBorders>
          </w:tcPr>
          <w:p w:rsidR="00B454C9" w:rsidRDefault="00B454C9" w:rsidP="00922582"/>
        </w:tc>
        <w:tc>
          <w:tcPr>
            <w:tcW w:w="3440" w:type="dxa"/>
            <w:gridSpan w:val="4"/>
            <w:vMerge/>
          </w:tcPr>
          <w:p w:rsidR="00B454C9" w:rsidRDefault="00B454C9" w:rsidP="00922582"/>
        </w:tc>
        <w:tc>
          <w:tcPr>
            <w:tcW w:w="1021" w:type="dxa"/>
            <w:gridSpan w:val="2"/>
            <w:vMerge/>
          </w:tcPr>
          <w:p w:rsidR="00B454C9" w:rsidRDefault="00B454C9"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lastRenderedPageBreak/>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r>
              <w:rPr>
                <w:lang w:val="en-US"/>
              </w:rPr>
              <w:t>fitam</w:t>
            </w:r>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5"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93FEB"/>
    <w:rsid w:val="000C02B5"/>
    <w:rsid w:val="000C613C"/>
    <w:rsid w:val="000D1D09"/>
    <w:rsid w:val="000F6CF6"/>
    <w:rsid w:val="00101956"/>
    <w:rsid w:val="00187432"/>
    <w:rsid w:val="001C2049"/>
    <w:rsid w:val="001F452E"/>
    <w:rsid w:val="00240C91"/>
    <w:rsid w:val="00414ABC"/>
    <w:rsid w:val="00482B7F"/>
    <w:rsid w:val="004E4E7B"/>
    <w:rsid w:val="00514C6A"/>
    <w:rsid w:val="0053274C"/>
    <w:rsid w:val="005B2CA0"/>
    <w:rsid w:val="005F0815"/>
    <w:rsid w:val="006D6179"/>
    <w:rsid w:val="00801E12"/>
    <w:rsid w:val="00960FEC"/>
    <w:rsid w:val="00966032"/>
    <w:rsid w:val="009E59D2"/>
    <w:rsid w:val="00A52B23"/>
    <w:rsid w:val="00B454C9"/>
    <w:rsid w:val="00B63FA9"/>
    <w:rsid w:val="00C83754"/>
    <w:rsid w:val="00CA07C9"/>
    <w:rsid w:val="00CF2C8D"/>
    <w:rsid w:val="00D23676"/>
    <w:rsid w:val="00D66B42"/>
    <w:rsid w:val="00E2257B"/>
    <w:rsid w:val="00E42AB4"/>
    <w:rsid w:val="00EC61C7"/>
    <w:rsid w:val="00F1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4D4F"/>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consultantplus://offline/ref=95B77AA7D20ED33670DD364049F070C08B54F091E33692E0A66CF9871B7F15D57E37EA34A8F03C1B5EE442385924D9B3C48061588C4C0A98dAn0N" TargetMode="Externa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 Lee</cp:lastModifiedBy>
  <cp:revision>7</cp:revision>
  <dcterms:created xsi:type="dcterms:W3CDTF">2021-10-05T13:47:00Z</dcterms:created>
  <dcterms:modified xsi:type="dcterms:W3CDTF">2021-10-05T15:21:00Z</dcterms:modified>
</cp:coreProperties>
</file>